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jc w:val="center"/>
        <w:rPr>
          <w:b/>
          <w:bCs/>
          <w:sz w:val="28"/>
          <w:szCs w:val="28"/>
        </w:rPr>
      </w:pPr>
      <w:r>
        <w:rPr>
          <w:b/>
        </w:rPr>
        <w:t xml:space="preserve">к проект</w:t>
      </w:r>
      <w:r>
        <w:rPr>
          <w:b/>
        </w:rPr>
        <w:t xml:space="preserve">у закона Новосибирской </w:t>
      </w:r>
      <w:r>
        <w:rPr>
          <w:b/>
        </w:rPr>
        <w:t xml:space="preserve">области </w:t>
      </w:r>
      <w:r>
        <w:rPr>
          <w:b/>
          <w:bCs/>
          <w:sz w:val="28"/>
          <w:szCs w:val="28"/>
        </w:rPr>
        <w:t xml:space="preserve">«О внесении изменений в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9"/>
        <w:jc w:val="center"/>
        <w:rPr>
          <w:b/>
        </w:rPr>
      </w:pPr>
      <w:r>
        <w:rPr>
          <w:b/>
          <w:bCs/>
          <w:sz w:val="28"/>
          <w:szCs w:val="28"/>
        </w:rPr>
        <w:t xml:space="preserve">статьи 1 и 3 Закона Новосибирской области </w:t>
      </w:r>
      <w:r>
        <w:rPr>
          <w:b/>
          <w:bCs/>
          <w:sz w:val="28"/>
          <w:szCs w:val="28"/>
        </w:rPr>
        <w:t xml:space="preserve">«О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предоставлении мер социальной поддержки гражданам Российской Федерации, призванным на военную службу по мобилизации в Вооруженные Силы Российской Федерации»</w:t>
      </w:r>
      <w:r>
        <w:rPr>
          <w:b/>
        </w:rPr>
      </w:r>
      <w:r>
        <w:rPr>
          <w:b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left="0" w:right="0" w:firstLine="709"/>
        <w:jc w:val="both"/>
        <w:rPr>
          <w:sz w:val="28"/>
          <w:szCs w:val="28"/>
          <w:u w:val="single"/>
        </w:rPr>
      </w:pPr>
      <w:r>
        <w:rPr>
          <w:b w:val="0"/>
          <w:bCs w:val="0"/>
          <w:sz w:val="28"/>
          <w:szCs w:val="28"/>
        </w:rPr>
        <w:t xml:space="preserve">1. </w:t>
      </w:r>
      <w:r>
        <w:rPr>
          <w:sz w:val="28"/>
          <w:szCs w:val="28"/>
        </w:rPr>
      </w:r>
      <w:r>
        <w:rPr>
          <w:sz w:val="28"/>
          <w:szCs w:val="28"/>
          <w:u w:val="none"/>
        </w:rPr>
        <w:t xml:space="preserve">В части полномочий министерства труда и социального развития Новосибирской области.</w:t>
      </w:r>
      <w:r>
        <w:rPr>
          <w:sz w:val="28"/>
          <w:szCs w:val="28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Реализация </w:t>
      </w:r>
      <w:r>
        <w:rPr>
          <w:b w:val="0"/>
          <w:bCs w:val="0"/>
        </w:rPr>
        <w:t xml:space="preserve">закона Новосибирской </w:t>
      </w:r>
      <w:r>
        <w:rPr>
          <w:b w:val="0"/>
          <w:bCs w:val="0"/>
        </w:rPr>
        <w:t xml:space="preserve">области </w:t>
      </w:r>
      <w:r>
        <w:rPr>
          <w:b w:val="0"/>
          <w:bCs w:val="0"/>
          <w:sz w:val="28"/>
          <w:szCs w:val="28"/>
        </w:rPr>
        <w:t xml:space="preserve">«О внесении изменений в </w:t>
      </w:r>
      <w:r>
        <w:rPr>
          <w:b w:val="0"/>
          <w:bCs w:val="0"/>
          <w:sz w:val="28"/>
          <w:szCs w:val="28"/>
        </w:rPr>
        <w:t xml:space="preserve">статьи 1 и 3 Закона Новосибирской области </w:t>
      </w:r>
      <w:r>
        <w:rPr>
          <w:b w:val="0"/>
          <w:bCs w:val="0"/>
          <w:sz w:val="28"/>
          <w:szCs w:val="28"/>
        </w:rPr>
        <w:t xml:space="preserve">«О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предоставлении мер социальной поддержки гражданам Российской Федерации, призванным на военную службу по мобилизации в Вооруженные Силы Российской Федерации»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(</w:t>
      </w:r>
      <w:r>
        <w:t xml:space="preserve">далее</w:t>
      </w:r>
      <w:r>
        <w:t xml:space="preserve"> – закон)</w:t>
      </w:r>
      <w:r>
        <w:rPr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осуществляться в рамках полномочия Новосибирской области «</w:t>
      </w:r>
      <w:r>
        <w:rPr>
          <w:sz w:val="28"/>
          <w:szCs w:val="28"/>
        </w:rPr>
        <w:t xml:space="preserve">Социальная поддержка и социальное обслуживание граждан пожи</w:t>
      </w:r>
      <w:r>
        <w:rPr>
          <w:sz w:val="28"/>
          <w:szCs w:val="28"/>
        </w:rPr>
        <w:t xml:space="preserve">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</w:t>
      </w:r>
      <w:r>
        <w:rPr>
          <w:sz w:val="28"/>
          <w:szCs w:val="28"/>
        </w:rPr>
        <w:t xml:space="preserve"> социальной поддержки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</w:t>
      </w:r>
      <w:r>
        <w:rPr>
          <w:sz w:val="28"/>
          <w:szCs w:val="28"/>
        </w:rPr>
        <w:t xml:space="preserve"> за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</w:t>
      </w:r>
      <w:r>
        <w:rPr>
          <w:sz w:val="28"/>
          <w:szCs w:val="28"/>
        </w:rPr>
        <w:t xml:space="preserve">едерации льгот отдельным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предоставления мер социальной поддержки льготным категориям граждан)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/>
    </w:p>
    <w:p>
      <w:pPr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</w:rPr>
        <w:t xml:space="preserve">Законом Новоси</w:t>
      </w:r>
      <w:r>
        <w:rPr>
          <w:sz w:val="28"/>
          <w:szCs w:val="28"/>
        </w:rPr>
        <w:t xml:space="preserve">бирской области от </w:t>
      </w:r>
      <w:r>
        <w:rPr>
          <w:sz w:val="28"/>
          <w:szCs w:val="28"/>
          <w:highlight w:val="white"/>
        </w:rPr>
        <w:t xml:space="preserve">19 декабря 2025 года № 37-ОЗ</w:t>
      </w:r>
      <w:r>
        <w:rPr>
          <w:sz w:val="28"/>
          <w:szCs w:val="28"/>
        </w:rPr>
        <w:t xml:space="preserve"> «Об областном бюджете Нов</w:t>
      </w:r>
      <w:r>
        <w:rPr>
          <w:sz w:val="28"/>
          <w:szCs w:val="28"/>
        </w:rPr>
        <w:t xml:space="preserve">осибирской области на 202</w:t>
      </w:r>
      <w:r>
        <w:rPr>
          <w:sz w:val="28"/>
          <w:szCs w:val="28"/>
        </w:rPr>
        <w:t xml:space="preserve">6 год и плановый</w:t>
      </w:r>
      <w:r>
        <w:rPr>
          <w:sz w:val="28"/>
          <w:szCs w:val="28"/>
        </w:rPr>
        <w:t xml:space="preserve"> период 202</w:t>
      </w:r>
      <w:r>
        <w:rPr>
          <w:sz w:val="28"/>
          <w:szCs w:val="28"/>
        </w:rPr>
        <w:t xml:space="preserve">7 и 202</w:t>
      </w:r>
      <w:r>
        <w:rPr>
          <w:sz w:val="28"/>
          <w:szCs w:val="28"/>
        </w:rPr>
        <w:t xml:space="preserve">8 годов» (далее – Закон № 37-ОЗ) </w:t>
      </w:r>
      <w:r>
        <w:rPr>
          <w:sz w:val="28"/>
          <w:szCs w:val="28"/>
        </w:rPr>
        <w:t xml:space="preserve">министерству </w:t>
      </w:r>
      <w:r>
        <w:rPr>
          <w:sz w:val="28"/>
          <w:szCs w:val="28"/>
          <w:u w:val="none"/>
        </w:rPr>
        <w:t xml:space="preserve">труда и социального развития Новосибирской области</w:t>
      </w:r>
      <w:r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предусмотрены бюджетные ассигнования на: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компенсацию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одительской платы за присмотр и уход за детьми, посещающими государственные образовательные организации Новосибирской области и муниципальные образовательные организации, иные образовательные организации, реализующие образовательную программу дошкольного о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разования, граждан Российской Федерации, постоянно проживающих на территории Новосибирской области,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</w:t>
      </w:r>
      <w:r>
        <w:rPr>
          <w:sz w:val="28"/>
          <w:szCs w:val="28"/>
        </w:rPr>
        <w:t xml:space="preserve">647 «Об объявлении частичной мобилизации в Российской Федерации»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КБК 023</w:t>
      </w:r>
      <w:r>
        <w:rPr>
          <w:sz w:val="28"/>
          <w:szCs w:val="28"/>
        </w:rPr>
        <w:t xml:space="preserve"> 1004 2830206509</w:t>
      </w:r>
      <w:r>
        <w:rPr>
          <w:sz w:val="28"/>
          <w:szCs w:val="28"/>
        </w:rPr>
        <w:t xml:space="preserve"> 321)</w:t>
      </w:r>
      <w:r>
        <w:rPr>
          <w:sz w:val="28"/>
          <w:szCs w:val="28"/>
        </w:rPr>
        <w:t xml:space="preserve"> (далее – компенсация) – 35 921 100</w:t>
      </w:r>
      <w:r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 xml:space="preserve">ежегодно на 202</w:t>
      </w:r>
      <w:r>
        <w:rPr>
          <w:sz w:val="28"/>
          <w:szCs w:val="28"/>
        </w:rPr>
        <w:t xml:space="preserve">6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финансовое обеспечение услуг доставки социальных выплат (КБК 023 1006 2830405260 244):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2026 год – 200 344 900,00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– 209 000 010,90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2028 год – 209 000 002,24 рублей.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4"/>
        <w:ind w:firstLine="709"/>
        <w:jc w:val="both"/>
      </w:pPr>
      <w:r>
        <w:t xml:space="preserve">Дополнительная потребность в средствах </w:t>
      </w:r>
      <w:r>
        <w:t xml:space="preserve">областного бюджета Новосибирской области в части расходных обязательств министерства</w:t>
      </w:r>
      <w:r>
        <w:rPr>
          <w:sz w:val="28"/>
          <w:szCs w:val="28"/>
          <w:u w:val="none"/>
        </w:rPr>
        <w:t xml:space="preserve">труда и социального развития Новосибирской области</w:t>
      </w:r>
      <w:r/>
      <w:r>
        <w:t xml:space="preserve"> </w:t>
      </w:r>
      <w:r>
        <w:t xml:space="preserve">на финансовое обеспечение реализации проекта закона </w:t>
      </w:r>
      <w:r>
        <w:t xml:space="preserve">в 2026 году</w:t>
      </w:r>
      <w:r>
        <w:t xml:space="preserve"> </w:t>
      </w:r>
      <w:r>
        <w:t xml:space="preserve">составит 8 496 000,00</w:t>
      </w:r>
      <w:r>
        <w:t xml:space="preserve"> рублей (</w:t>
      </w:r>
      <w:r>
        <w:rPr>
          <w:rFonts w:eastAsia="Calibri"/>
          <w:szCs w:val="28"/>
          <w:highlight w:val="white"/>
          <w:lang w:eastAsia="en-US"/>
        </w:rPr>
        <w:t xml:space="preserve">приложени</w:t>
      </w:r>
      <w:r>
        <w:rPr>
          <w:rFonts w:eastAsia="Calibri"/>
          <w:szCs w:val="28"/>
          <w:highlight w:val="white"/>
          <w:lang w:eastAsia="en-US"/>
        </w:rPr>
        <w:t xml:space="preserve">е № 1 к финан</w:t>
      </w:r>
      <w:r>
        <w:rPr>
          <w:rFonts w:eastAsia="Calibri"/>
          <w:szCs w:val="28"/>
          <w:highlight w:val="white"/>
          <w:lang w:eastAsia="en-US"/>
        </w:rPr>
        <w:t xml:space="preserve">сово-экономическому обоснованию</w:t>
      </w:r>
      <w:r>
        <w:t xml:space="preserve">). </w:t>
      </w:r>
      <w:r>
        <w:rPr>
          <w:highlight w:val="white"/>
        </w:rPr>
        <w:t xml:space="preserve">Ввиду</w:t>
      </w:r>
      <w:r>
        <w:rPr>
          <w:highlight w:val="white"/>
        </w:rPr>
        <w:t xml:space="preserve"> сложности прогнозирования количества получателей вводимой категории, при расчете использовались сведения о количестве семей граждан, мобилизованных в иных регионах, проживающих на территории Новосибирской области, которыми располагает министерство в связи</w:t>
      </w:r>
      <w:r>
        <w:rPr>
          <w:highlight w:val="white"/>
        </w:rPr>
        <w:t xml:space="preserve"> с их обращениями по иным вопросам.</w:t>
      </w:r>
      <w:r>
        <w:rPr>
          <w:highlight w:val="yellow"/>
        </w:rPr>
      </w:r>
      <w:r/>
    </w:p>
    <w:p>
      <w:pPr>
        <w:pStyle w:val="844"/>
        <w:ind w:firstLine="709"/>
        <w:jc w:val="both"/>
        <w:rPr>
          <w:highlight w:val="none"/>
        </w:rPr>
      </w:pPr>
      <w:r>
        <w:rPr>
          <w:szCs w:val="28"/>
        </w:rPr>
        <w:t xml:space="preserve">Реализация </w:t>
      </w:r>
      <w:r>
        <w:rPr>
          <w:szCs w:val="28"/>
        </w:rPr>
        <w:t xml:space="preserve">закона</w:t>
      </w:r>
      <w:r>
        <w:rPr>
          <w:szCs w:val="28"/>
        </w:rPr>
        <w:t xml:space="preserve"> </w:t>
      </w:r>
      <w:r>
        <w:rPr>
          <w:szCs w:val="28"/>
        </w:rPr>
        <w:t xml:space="preserve">будет осуществлять</w:t>
      </w:r>
      <w:r>
        <w:rPr>
          <w:szCs w:val="28"/>
        </w:rPr>
        <w:t xml:space="preserve">ся</w:t>
      </w:r>
      <w:r>
        <w:rPr>
          <w:szCs w:val="28"/>
        </w:rPr>
        <w:t xml:space="preserve"> в пределах </w:t>
      </w:r>
      <w:r>
        <w:rPr>
          <w:szCs w:val="28"/>
        </w:rPr>
        <w:t xml:space="preserve">утвержденных </w:t>
      </w:r>
      <w:r>
        <w:rPr>
          <w:szCs w:val="28"/>
        </w:rPr>
        <w:t xml:space="preserve">министерству </w:t>
      </w:r>
      <w:r>
        <w:rPr>
          <w:sz w:val="28"/>
          <w:szCs w:val="28"/>
          <w:u w:val="none"/>
        </w:rPr>
        <w:t xml:space="preserve">труда и социального развития Новосибирской области</w:t>
      </w:r>
      <w:r/>
      <w:r>
        <w:rPr>
          <w:szCs w:val="28"/>
        </w:rPr>
        <w:t xml:space="preserve"> </w:t>
      </w:r>
      <w:r>
        <w:rPr>
          <w:szCs w:val="28"/>
        </w:rPr>
        <w:t xml:space="preserve">бюджетных ассигнований и </w:t>
      </w:r>
      <w:r>
        <w:rPr>
          <w:szCs w:val="28"/>
        </w:rPr>
        <w:t xml:space="preserve">доведенных лимитов бюджетных обязательств</w:t>
      </w:r>
      <w:r>
        <w:rPr>
          <w:szCs w:val="28"/>
        </w:rPr>
        <w:t xml:space="preserve">. В связи с уменьшением численности относительно планируемой сложилась экономия по компенсации</w:t>
      </w:r>
      <w:r>
        <w:rPr>
          <w:szCs w:val="28"/>
        </w:rPr>
        <w:t xml:space="preserve">. </w:t>
      </w:r>
      <w:r>
        <w:t xml:space="preserve">Расчет представлен в приложении № 2 к </w:t>
      </w:r>
      <w:r>
        <w:rPr>
          <w:rFonts w:eastAsia="Calibri"/>
          <w:szCs w:val="28"/>
          <w:highlight w:val="white"/>
          <w:lang w:eastAsia="en-US"/>
        </w:rPr>
        <w:t xml:space="preserve">финан</w:t>
      </w:r>
      <w:r>
        <w:rPr>
          <w:rFonts w:eastAsia="Calibri"/>
          <w:szCs w:val="28"/>
          <w:highlight w:val="white"/>
          <w:lang w:eastAsia="en-US"/>
        </w:rPr>
        <w:t xml:space="preserve">сово-экономическому обоснованию</w:t>
      </w:r>
      <w:r>
        <w:t xml:space="preserve">.</w:t>
      </w:r>
      <w:r>
        <w:rPr>
          <w:szCs w:val="28"/>
        </w:rPr>
        <w:t xml:space="preserve"> Д</w:t>
      </w:r>
      <w:r>
        <w:rPr>
          <w:szCs w:val="28"/>
        </w:rPr>
        <w:t xml:space="preserve">ополнительны</w:t>
      </w:r>
      <w:r>
        <w:rPr>
          <w:szCs w:val="28"/>
        </w:rPr>
        <w:t xml:space="preserve">х</w:t>
      </w:r>
      <w:r>
        <w:rPr>
          <w:szCs w:val="28"/>
        </w:rPr>
        <w:t xml:space="preserve"> средств из областного бюджета Новосибирской области </w:t>
      </w:r>
      <w:r>
        <w:rPr>
          <w:szCs w:val="28"/>
        </w:rPr>
        <w:t xml:space="preserve">не потребуется.</w:t>
      </w:r>
      <w:r>
        <w:rPr>
          <w:highlight w:val="none"/>
        </w:rPr>
      </w:r>
      <w:r>
        <w:rPr>
          <w:highlight w:val="none"/>
        </w:rPr>
      </w:r>
    </w:p>
    <w:p>
      <w:pPr>
        <w:ind w:firstLine="720"/>
        <w:jc w:val="both"/>
        <w:spacing w:before="0" w:after="0" w:line="57" w:lineRule="atLeast"/>
        <w:rPr>
          <w:rFonts w:ascii="Times New Roman" w:hAnsi="Times New Roman" w:eastAsia="Times New Roman" w:cs="Times New Roman"/>
          <w:sz w:val="28"/>
          <w:szCs w:val="28"/>
          <w:highlight w:val="white"/>
        </w:rPr>
        <w:suppressLineNumbers w:val="0"/>
      </w:pPr>
      <w:r>
        <w:rPr>
          <w:szCs w:val="28"/>
          <w:highlight w:val="none"/>
        </w:rPr>
        <w:t xml:space="preserve">2. </w:t>
      </w:r>
      <w:r>
        <w:rPr>
          <w:sz w:val="28"/>
          <w:szCs w:val="28"/>
          <w:u w:val="none"/>
        </w:rPr>
        <w:t xml:space="preserve">В части полномочий министерства образования Новосибирской области.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</w:p>
    <w:p>
      <w:pPr>
        <w:ind w:firstLine="720"/>
        <w:jc w:val="both"/>
        <w:spacing w:before="0" w:after="0" w:line="57" w:lineRule="atLeast"/>
        <w:rPr>
          <w:rFonts w:ascii="Times New Roman" w:hAnsi="Times New Roman" w:cs="Times New Roman"/>
          <w:color w:val="000000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Законом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№ 37-ОЗ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министерству </w:t>
      </w:r>
      <w:r>
        <w:rPr>
          <w:sz w:val="28"/>
          <w:szCs w:val="28"/>
          <w:u w:val="none"/>
        </w:rPr>
        <w:t xml:space="preserve">образования Новосибирской области</w:t>
      </w:r>
      <w:r/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бюджетные ассигнования по КБ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136 1003 07 3 01 03349 5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расходному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обязательству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Субвенции на социальную поддержку отдельных категорий детей, обучающихся в образовательных организациях», полномочию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Предоставление межбюджетных трансфертов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размере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167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389 100,0 руб. – на 2026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2 404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047 000,0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2027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2 381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179 000,0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2028 год.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7"/>
          <w:szCs w:val="27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Министерству </w:t>
      </w:r>
      <w:r>
        <w:rPr>
          <w:sz w:val="28"/>
          <w:szCs w:val="28"/>
          <w:u w:val="none"/>
        </w:rPr>
        <w:t xml:space="preserve">образования Новосибирской области</w:t>
      </w:r>
      <w:r/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 доведены лимиты бюджетных обязательств (по состоянию на 12.05.2026)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 КБ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136 1003 07 3 01 03349 5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расходному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обязательству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Субвенции на социальную поддержку отдельных категорий детей, обучающихся в образовательных организациях», полномочию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Предоставление межбюджетных трансфертов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размере:</w:t>
      </w:r>
      <w:r>
        <w:rPr>
          <w:rFonts w:ascii="Times New Roman" w:hAnsi="Times New Roman" w:cs="Times New Roman"/>
          <w:b/>
          <w:bCs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i/>
          <w:sz w:val="27"/>
          <w:szCs w:val="27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085 833 769,2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2026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2 404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047 000,0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2027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2 381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179 000,0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2028 год.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том числе для обеспечения льготного питания детей военнослужащих, обучающихся в муниципальных образовательных организациях Новосибирской области,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2026-2028 годах предусмотрены бюджетные ассигнования в размере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18 942 000,0 руб. ежегодно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7"/>
          <w:szCs w:val="27"/>
          <w:highlight w:val="whit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 5-дневной учеб. неделе: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909 чел. * 175 учеб. дней * 90,70 руб. = 14 428 000,0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руб.;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sz w:val="27"/>
          <w:szCs w:val="27"/>
          <w:highlight w:val="whit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по 6-дневной учеб. неделе: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237 чел. * 210 учеб. дней * 90,70 руб. = 4 514 000,0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bCs/>
          <w:sz w:val="27"/>
          <w:szCs w:val="27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ля детей военнослужащих - обучающихся государственных общеобразовательных организаций, подведомственных министерству образования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асходы осуществляются по расходному обязательству 136000780 «Меры социальной поддержки отдельных категорий обу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чающихся в образовательных организациях»,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полномочию 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оциальная поддержка и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едеральных государственных образовательных организациях), социальной поддержки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политических репрессий, малоимущих граждан, в том числе за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связи с предоставлением законами субъекта Российской Федерации льгот отдельным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предоставлени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мер социальной поддержки гражданам по установленным критериям нуждаемости (за исключением поддержки льготных категорий граждан))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Законом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предусмотрены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бюджетные ассигнования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7"/>
          <w:szCs w:val="27"/>
          <w:highlight w:val="white"/>
        </w:rPr>
      </w:r>
    </w:p>
    <w:p>
      <w:pPr>
        <w:ind w:firstLine="708"/>
        <w:jc w:val="both"/>
        <w:spacing w:before="0" w:after="0" w:line="240" w:lineRule="auto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бюджетным учреждениям по КБК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136 0702 07301 03349 610 в размере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15 003 600,0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руб. на 2026 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15 003 600,0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руб. на 2027 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15 003 600,0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на 2028 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ind w:firstLine="708"/>
        <w:jc w:val="both"/>
        <w:spacing w:before="0" w:after="0" w:line="240" w:lineRule="auto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автономным учреждениям по КБК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136 0702 07301 03349 620 - 878 800,0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2026 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878 800,0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2027 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878 800,0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2028 год.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Доведены лимиты бюджетных обязательств (по состоянию на 12.05.2026): </w:t>
        <w:tab/>
        <w:t xml:space="preserve">бюджетным учреждениям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 КБ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136 0702 07301 03349 610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размере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br/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14 439 038,9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2026 год;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14 114 071,5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руб. – на 2027 год;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13 012 141,3 руб. – на 2028 год.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cs="Times New Roman"/>
          <w:sz w:val="27"/>
          <w:szCs w:val="27"/>
          <w:highlight w:val="none"/>
        </w:rPr>
        <w:suppressLineNumbers w:val="0"/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автономным учреждениям по КБК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136 0702 07301 03349 620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  <w:br/>
        <w:t xml:space="preserve">845 732,2 руб. – на 2026 год,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27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762 155,1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том числе для обеспечения льготного питания детей военнослужащих, обучающихся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государственных общеобразовательных организаций, подведомственных министерству образования Новосибирской области,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предусмотрены расходы в размере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100,0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Реализация закона будет осуществляться в пределах доведенных министерству лимитов бюджетных обязательств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учетом плана мероприятий по оптимизации расходов областного бюджета Новосибирской области,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дополнительных средств из областного бюджета Новосибирской области не потребуется.</w:t>
      </w:r>
      <w:r>
        <w:rPr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4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Участниками реализации закона является </w:t>
      </w:r>
      <w:r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 xml:space="preserve">труда и социального развития Новосибирской области</w:t>
      </w:r>
      <w:r>
        <w:rPr>
          <w:sz w:val="28"/>
          <w:szCs w:val="28"/>
          <w:highlight w:val="none"/>
        </w:rPr>
        <w:t xml:space="preserve"> 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министерство образования Новосибирской области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304" w:right="567" w:bottom="1361" w:left="1418" w:header="680" w:footer="68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4"/>
    <w:next w:val="844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4"/>
    <w:next w:val="844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4"/>
    <w:next w:val="844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4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4"/>
    <w:next w:val="844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basedOn w:val="844"/>
    <w:next w:val="844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844"/>
    <w:next w:val="844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4"/>
    <w:next w:val="844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4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844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next w:val="844"/>
    <w:link w:val="844"/>
    <w:qFormat/>
    <w:rPr>
      <w:sz w:val="28"/>
      <w:lang w:val="ru-RU" w:eastAsia="ru-RU" w:bidi="ar-SA"/>
    </w:rPr>
  </w:style>
  <w:style w:type="character" w:styleId="845">
    <w:name w:val="Основной шрифт абзаца"/>
    <w:next w:val="845"/>
    <w:link w:val="844"/>
    <w:semiHidden/>
  </w:style>
  <w:style w:type="table" w:styleId="846">
    <w:name w:val="Обычная таблица"/>
    <w:next w:val="846"/>
    <w:link w:val="844"/>
    <w:semiHidden/>
    <w:tblPr/>
  </w:style>
  <w:style w:type="numbering" w:styleId="847">
    <w:name w:val="Нет списка"/>
    <w:next w:val="847"/>
    <w:link w:val="844"/>
    <w:semiHidden/>
  </w:style>
  <w:style w:type="paragraph" w:styleId="848">
    <w:name w:val="Основной текст"/>
    <w:basedOn w:val="844"/>
    <w:next w:val="848"/>
    <w:link w:val="844"/>
    <w:pPr>
      <w:jc w:val="center"/>
    </w:pPr>
  </w:style>
  <w:style w:type="paragraph" w:styleId="849">
    <w:name w:val="Название"/>
    <w:basedOn w:val="844"/>
    <w:next w:val="849"/>
    <w:link w:val="844"/>
    <w:qFormat/>
    <w:pPr>
      <w:jc w:val="center"/>
    </w:pPr>
    <w:rPr>
      <w:b/>
    </w:rPr>
  </w:style>
  <w:style w:type="paragraph" w:styleId="850">
    <w:name w:val="Верхний колонтитул"/>
    <w:basedOn w:val="844"/>
    <w:next w:val="850"/>
    <w:link w:val="851"/>
    <w:pPr>
      <w:tabs>
        <w:tab w:val="center" w:pos="4153" w:leader="none"/>
        <w:tab w:val="right" w:pos="8306" w:leader="none"/>
      </w:tabs>
    </w:pPr>
  </w:style>
  <w:style w:type="character" w:styleId="851">
    <w:name w:val="Верхний колонтитул Знак"/>
    <w:next w:val="851"/>
    <w:link w:val="850"/>
    <w:rPr>
      <w:sz w:val="28"/>
    </w:rPr>
  </w:style>
  <w:style w:type="paragraph" w:styleId="852">
    <w:name w:val="Текст выноски"/>
    <w:basedOn w:val="844"/>
    <w:next w:val="852"/>
    <w:link w:val="853"/>
    <w:rPr>
      <w:rFonts w:ascii="Tahoma" w:hAnsi="Tahoma" w:cs="Tahoma"/>
      <w:sz w:val="16"/>
      <w:szCs w:val="16"/>
    </w:rPr>
  </w:style>
  <w:style w:type="character" w:styleId="853">
    <w:name w:val="Текст выноски Знак"/>
    <w:next w:val="853"/>
    <w:link w:val="852"/>
    <w:rPr>
      <w:rFonts w:ascii="Tahoma" w:hAnsi="Tahoma" w:cs="Tahoma"/>
      <w:sz w:val="16"/>
      <w:szCs w:val="16"/>
    </w:rPr>
  </w:style>
  <w:style w:type="paragraph" w:styleId="854">
    <w:name w:val="Нижний колонтитул"/>
    <w:basedOn w:val="844"/>
    <w:next w:val="854"/>
    <w:link w:val="855"/>
    <w:pPr>
      <w:tabs>
        <w:tab w:val="center" w:pos="4677" w:leader="none"/>
        <w:tab w:val="right" w:pos="9355" w:leader="none"/>
      </w:tabs>
    </w:pPr>
  </w:style>
  <w:style w:type="character" w:styleId="855">
    <w:name w:val="Нижний колонтитул Знак"/>
    <w:next w:val="855"/>
    <w:link w:val="854"/>
    <w:rPr>
      <w:sz w:val="28"/>
    </w:rPr>
  </w:style>
  <w:style w:type="character" w:styleId="856" w:default="1">
    <w:name w:val="Default Paragraph Font"/>
    <w:uiPriority w:val="1"/>
    <w:semiHidden/>
    <w:unhideWhenUsed/>
  </w:style>
  <w:style w:type="numbering" w:styleId="857" w:default="1">
    <w:name w:val="No List"/>
    <w:uiPriority w:val="99"/>
    <w:semiHidden/>
    <w:unhideWhenUsed/>
  </w:style>
  <w:style w:type="table" w:styleId="858" w:default="1">
    <w:name w:val="Normal Table"/>
    <w:uiPriority w:val="99"/>
    <w:semiHidden/>
    <w:unhideWhenUsed/>
    <w:tblPr/>
  </w:style>
  <w:style w:type="paragraph" w:styleId="859" w:customStyle="1">
    <w:name w:val="ConsPlusNormal"/>
    <w:link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55</cp:revision>
  <dcterms:created xsi:type="dcterms:W3CDTF">2021-02-09T08:18:00Z</dcterms:created>
  <dcterms:modified xsi:type="dcterms:W3CDTF">2026-05-14T05:56:39Z</dcterms:modified>
  <cp:version>983040</cp:version>
</cp:coreProperties>
</file>